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4B" w:rsidRPr="00092F8A" w:rsidRDefault="00092F8A" w:rsidP="00092F8A">
      <w:pPr>
        <w:jc w:val="center"/>
        <w:rPr>
          <w:b/>
          <w:sz w:val="28"/>
          <w:szCs w:val="28"/>
        </w:rPr>
      </w:pPr>
      <w:r w:rsidRPr="00092F8A">
        <w:rPr>
          <w:b/>
          <w:sz w:val="28"/>
          <w:szCs w:val="28"/>
        </w:rPr>
        <w:t>Závěrečná zpráva</w:t>
      </w:r>
    </w:p>
    <w:p w:rsidR="00B3424E" w:rsidRDefault="00B3424E">
      <w:pPr>
        <w:rPr>
          <w:b/>
        </w:rPr>
      </w:pPr>
      <w:r>
        <w:rPr>
          <w:b/>
        </w:rPr>
        <w:t>Výpočty</w:t>
      </w:r>
    </w:p>
    <w:p w:rsidR="00B3424E" w:rsidRDefault="00B3424E">
      <w:r>
        <w:rPr>
          <w:b/>
        </w:rPr>
        <w:tab/>
      </w:r>
      <w:r>
        <w:t>Viz příloha</w:t>
      </w:r>
      <w:r w:rsidR="00741876">
        <w:t xml:space="preserve"> 1</w:t>
      </w:r>
    </w:p>
    <w:p w:rsidR="00741876" w:rsidRDefault="00741876">
      <w:pPr>
        <w:rPr>
          <w:b/>
        </w:rPr>
      </w:pPr>
      <w:r w:rsidRPr="00741876">
        <w:rPr>
          <w:b/>
        </w:rPr>
        <w:t>Řešení lineárních rozměrových obvodů</w:t>
      </w:r>
      <w:r>
        <w:rPr>
          <w:b/>
        </w:rPr>
        <w:t>:</w:t>
      </w:r>
    </w:p>
    <w:p w:rsidR="00741876" w:rsidRPr="00741876" w:rsidRDefault="00741876">
      <w:r>
        <w:rPr>
          <w:b/>
        </w:rPr>
        <w:tab/>
      </w:r>
      <w:r>
        <w:t>Viz příloha 2</w:t>
      </w:r>
    </w:p>
    <w:p w:rsidR="00B3424E" w:rsidRDefault="00B3424E">
      <w:pPr>
        <w:rPr>
          <w:b/>
        </w:rPr>
      </w:pPr>
    </w:p>
    <w:p w:rsidR="00092F8A" w:rsidRPr="00092F8A" w:rsidRDefault="00092F8A">
      <w:pPr>
        <w:rPr>
          <w:b/>
        </w:rPr>
      </w:pPr>
      <w:r w:rsidRPr="00092F8A">
        <w:rPr>
          <w:b/>
        </w:rPr>
        <w:t>Specifikace normalizovaných prvků:</w:t>
      </w:r>
    </w:p>
    <w:p w:rsidR="00092F8A" w:rsidRDefault="00092F8A" w:rsidP="00092F8A">
      <w:pPr>
        <w:ind w:firstLine="708"/>
      </w:pPr>
      <w:r>
        <w:t xml:space="preserve">Ložisková tělesa, ložiska a axiální vodící kroužky- nakoupené od firmy SKF </w:t>
      </w:r>
    </w:p>
    <w:p w:rsidR="00092F8A" w:rsidRDefault="00092F8A" w:rsidP="00092F8A">
      <w:pPr>
        <w:ind w:firstLine="708"/>
      </w:pPr>
      <w:r>
        <w:tab/>
        <w:t>Ložisková tělesa- katalog: „SKF ložisková těle</w:t>
      </w:r>
      <w:r w:rsidR="00C0573B">
        <w:t>sa“, katalogové označení SNL 508</w:t>
      </w:r>
    </w:p>
    <w:p w:rsidR="00092F8A" w:rsidRDefault="00092F8A" w:rsidP="00092F8A">
      <w:pPr>
        <w:ind w:left="708" w:firstLine="708"/>
      </w:pPr>
      <w:r>
        <w:t>ložiska- katalog:  „SKF lo</w:t>
      </w:r>
      <w:r w:rsidR="00C0573B">
        <w:t>žiska“, katalogové označení 6307</w:t>
      </w:r>
    </w:p>
    <w:p w:rsidR="00092F8A" w:rsidRDefault="00092F8A" w:rsidP="00092F8A">
      <w:pPr>
        <w:ind w:left="708" w:firstLine="708"/>
        <w:rPr>
          <w:rFonts w:ascii="Arial" w:hAnsi="Arial"/>
          <w:noProof/>
        </w:rPr>
      </w:pPr>
      <w:r>
        <w:t xml:space="preserve">axiální vodící kroužky- katalog  „SKF ložiska“, katalogové označení </w:t>
      </w:r>
      <w:r w:rsidR="00C0573B">
        <w:rPr>
          <w:rFonts w:ascii="Arial" w:hAnsi="Arial"/>
          <w:noProof/>
        </w:rPr>
        <w:t>FRB 80/27</w:t>
      </w:r>
    </w:p>
    <w:p w:rsidR="00C0573B" w:rsidRDefault="00C0573B" w:rsidP="00C0573B">
      <w:pPr>
        <w:autoSpaceDE w:val="0"/>
        <w:autoSpaceDN w:val="0"/>
        <w:adjustRightInd w:val="0"/>
      </w:pPr>
      <w:r>
        <w:t>2x Šroub ISO 4014-8.8-M12x30</w:t>
      </w:r>
    </w:p>
    <w:p w:rsidR="00C0573B" w:rsidRDefault="00C0573B" w:rsidP="00C0573B">
      <w:pPr>
        <w:autoSpaceDE w:val="0"/>
        <w:autoSpaceDN w:val="0"/>
        <w:adjustRightInd w:val="0"/>
      </w:pPr>
      <w:r>
        <w:t xml:space="preserve">2x Podložka 13 ČSN 02 1702.10 </w:t>
      </w:r>
    </w:p>
    <w:p w:rsidR="00C0573B" w:rsidRDefault="00C0573B" w:rsidP="00C0573B">
      <w:pPr>
        <w:autoSpaceDE w:val="0"/>
        <w:autoSpaceDN w:val="0"/>
        <w:adjustRightInd w:val="0"/>
      </w:pPr>
      <w:r>
        <w:t>2x Deska D-46x6 ČSN 022703</w:t>
      </w:r>
    </w:p>
    <w:p w:rsidR="00C0573B" w:rsidRDefault="00C0573B" w:rsidP="00C0573B">
      <w:r>
        <w:t>2x Pero 10e7x8x25 ČSN 02 2562</w:t>
      </w:r>
    </w:p>
    <w:p w:rsidR="00C0573B" w:rsidRDefault="00C0573B" w:rsidP="00092F8A">
      <w:pPr>
        <w:ind w:left="708" w:firstLine="708"/>
        <w:rPr>
          <w:rFonts w:ascii="Arial" w:hAnsi="Arial"/>
          <w:noProof/>
        </w:rPr>
      </w:pPr>
    </w:p>
    <w:p w:rsidR="00092F8A" w:rsidRDefault="00092F8A" w:rsidP="00092F8A">
      <w:pPr>
        <w:rPr>
          <w:rFonts w:ascii="Arial" w:hAnsi="Arial"/>
          <w:noProof/>
        </w:rPr>
      </w:pPr>
      <w:r>
        <w:rPr>
          <w:rFonts w:ascii="Arial" w:hAnsi="Arial"/>
          <w:noProof/>
        </w:rPr>
        <w:tab/>
      </w:r>
    </w:p>
    <w:p w:rsidR="00ED1481" w:rsidRDefault="00ED1481" w:rsidP="00ED1481">
      <w:pPr>
        <w:rPr>
          <w:rFonts w:ascii="Arial" w:hAnsi="Arial"/>
          <w:noProof/>
        </w:rPr>
      </w:pPr>
    </w:p>
    <w:p w:rsidR="00ED1481" w:rsidRDefault="00ED1481" w:rsidP="00ED1481">
      <w:pPr>
        <w:rPr>
          <w:rFonts w:ascii="Arial" w:hAnsi="Arial"/>
          <w:noProof/>
        </w:rPr>
      </w:pPr>
    </w:p>
    <w:p w:rsidR="00ED1481" w:rsidRDefault="00ED1481" w:rsidP="00ED1481">
      <w:pPr>
        <w:rPr>
          <w:rFonts w:ascii="Arial" w:hAnsi="Arial"/>
          <w:b/>
          <w:noProof/>
        </w:rPr>
      </w:pPr>
      <w:r w:rsidRPr="00ED1481">
        <w:rPr>
          <w:rFonts w:ascii="Arial" w:hAnsi="Arial"/>
          <w:b/>
          <w:noProof/>
        </w:rPr>
        <w:t>Postup montáže: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Upevnění dolních částí ložiskových těles k podložce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axiálních vodících kroužků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Nasazení ložisek na hřídel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per do příslušných otvorů na hřídeli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Nasazení řemenic 1 a 2 na příslušné konce hřídele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Axiální zajištění řemenic (podložka, nízká matice M36, matice M36)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sestaveného hřídele do dolních částí ložiskových těles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Připevnění vrchních částí ložiskových těles</w:t>
      </w:r>
    </w:p>
    <w:p w:rsidR="00C0573B" w:rsidRPr="00C0573B" w:rsidRDefault="00C0573B" w:rsidP="00C0573B">
      <w:pPr>
        <w:pStyle w:val="Nadpis3"/>
        <w:rPr>
          <w:rFonts w:ascii="Arial" w:hAnsi="Arial" w:cs="Arial"/>
          <w:sz w:val="22"/>
          <w:szCs w:val="22"/>
        </w:rPr>
      </w:pPr>
      <w:r w:rsidRPr="00C0573B">
        <w:rPr>
          <w:rFonts w:ascii="Arial" w:hAnsi="Arial" w:cs="Arial"/>
          <w:sz w:val="22"/>
          <w:szCs w:val="22"/>
        </w:rPr>
        <w:t>Ostatní:</w:t>
      </w:r>
    </w:p>
    <w:p w:rsidR="00C0573B" w:rsidRDefault="00C0573B" w:rsidP="00C0573B">
      <w:r>
        <w:t xml:space="preserve">Po smontování je nutné nechat celou sestavu zaběhnout, tzn. nechat několik hodin běžet bez zátěže – na prázdno. Dojde k počátečnímu vytahání řemene, zároveň se také zjistí případné vady, např. </w:t>
      </w:r>
      <w:r>
        <w:lastRenderedPageBreak/>
        <w:t xml:space="preserve">nadměrné zahřívání ložisek apod. Pro správný chod je doporučeno mazání, nejlépe mazací tuk </w:t>
      </w:r>
      <w:r w:rsidRPr="005728C9">
        <w:t>LA 2</w:t>
      </w:r>
      <w:r>
        <w:t> </w:t>
      </w:r>
      <w:r w:rsidRPr="005728C9">
        <w:t>400g</w:t>
      </w:r>
      <w:r>
        <w:t xml:space="preserve"> či jiné obdobné mazivo.</w:t>
      </w:r>
    </w:p>
    <w:p w:rsidR="00C0573B" w:rsidRDefault="00C0573B" w:rsidP="00C0573B">
      <w:r>
        <w:t xml:space="preserve">Odchylky od zadání – Zadání bylo vesměs zpracováno dle předem určených hodnot. Vzdáleností „a“ bylo taktéž </w:t>
      </w:r>
      <w:proofErr w:type="gramStart"/>
      <w:r>
        <w:t>dodrženo.Počet</w:t>
      </w:r>
      <w:proofErr w:type="gramEnd"/>
      <w:r>
        <w:t xml:space="preserve"> zubů malé řemenice byl zvýšen na 18 kvůli malému průměru řemenice a obavy z provalení drážky pro pero.</w:t>
      </w:r>
      <w:r w:rsidRPr="004801E9">
        <w:t xml:space="preserve"> </w:t>
      </w:r>
    </w:p>
    <w:p w:rsidR="00C0573B" w:rsidRDefault="00C0573B" w:rsidP="00C0573B"/>
    <w:p w:rsidR="00ED1481" w:rsidRDefault="00ED1481" w:rsidP="00ED1481">
      <w:pPr>
        <w:rPr>
          <w:b/>
        </w:rPr>
      </w:pPr>
    </w:p>
    <w:p w:rsidR="00ED1481" w:rsidRDefault="00ED1481" w:rsidP="00ED1481">
      <w:pPr>
        <w:rPr>
          <w:b/>
        </w:rPr>
      </w:pPr>
      <w:r>
        <w:rPr>
          <w:b/>
        </w:rPr>
        <w:t>Závěrečné zhodnocení:</w:t>
      </w:r>
    </w:p>
    <w:p w:rsidR="00ED1481" w:rsidRPr="005A66F0" w:rsidRDefault="00B3424E" w:rsidP="00C0573B">
      <w:pPr>
        <w:rPr>
          <w:rFonts w:ascii="Arial" w:hAnsi="Arial"/>
          <w:noProof/>
        </w:rPr>
      </w:pPr>
      <w:r>
        <w:t xml:space="preserve"> Požadované vzdálenosti řemenic a ložisek byly dodrženy.</w:t>
      </w:r>
      <w:r w:rsidR="005A66F0">
        <w:t xml:space="preserve"> Přenos </w:t>
      </w:r>
      <w:proofErr w:type="gramStart"/>
      <w:r w:rsidR="005A66F0">
        <w:t>kroutícího</w:t>
      </w:r>
      <w:proofErr w:type="gramEnd"/>
      <w:r w:rsidR="005A66F0">
        <w:t xml:space="preserve"> momentu z řemenic na hřídel a opačně je realizován pomocí per (</w:t>
      </w:r>
      <w:r w:rsidR="00C0573B">
        <w:rPr>
          <w:rFonts w:ascii="Arial" w:hAnsi="Arial"/>
          <w:noProof/>
        </w:rPr>
        <w:t>10</w:t>
      </w:r>
      <w:r w:rsidR="005A66F0" w:rsidRPr="00FB6AAB">
        <w:rPr>
          <w:rFonts w:ascii="Arial" w:hAnsi="Arial"/>
          <w:noProof/>
        </w:rPr>
        <w:t>e7 x 8 x 32</w:t>
      </w:r>
      <w:r w:rsidR="005A66F0">
        <w:rPr>
          <w:rFonts w:ascii="Arial" w:hAnsi="Arial"/>
          <w:noProof/>
        </w:rPr>
        <w:t xml:space="preserve"> </w:t>
      </w:r>
      <w:r w:rsidR="005A66F0" w:rsidRPr="00FB6AAB">
        <w:rPr>
          <w:rFonts w:ascii="Arial" w:hAnsi="Arial"/>
          <w:noProof/>
        </w:rPr>
        <w:t xml:space="preserve">ČSN </w:t>
      </w:r>
      <w:r w:rsidR="00C0573B">
        <w:rPr>
          <w:rFonts w:ascii="Arial" w:hAnsi="Arial"/>
          <w:noProof/>
        </w:rPr>
        <w:t xml:space="preserve"> </w:t>
      </w:r>
      <w:r w:rsidR="005A66F0" w:rsidRPr="00FB6AAB">
        <w:rPr>
          <w:rFonts w:ascii="Arial" w:hAnsi="Arial"/>
          <w:noProof/>
        </w:rPr>
        <w:t>02</w:t>
      </w:r>
      <w:r w:rsidR="005A66F0">
        <w:rPr>
          <w:rFonts w:ascii="Arial" w:hAnsi="Arial"/>
          <w:noProof/>
        </w:rPr>
        <w:t xml:space="preserve"> </w:t>
      </w:r>
      <w:r w:rsidR="005A66F0" w:rsidRPr="00FB6AAB">
        <w:rPr>
          <w:rFonts w:ascii="Arial" w:hAnsi="Arial"/>
          <w:noProof/>
        </w:rPr>
        <w:t>2562</w:t>
      </w:r>
      <w:r w:rsidR="005A66F0">
        <w:rPr>
          <w:rFonts w:ascii="Arial" w:hAnsi="Arial"/>
          <w:noProof/>
        </w:rPr>
        <w:t>), která jsou pro obě řemenice stejná</w:t>
      </w:r>
      <w:r w:rsidR="005A66F0" w:rsidRPr="00FB6AAB">
        <w:rPr>
          <w:rFonts w:ascii="Arial" w:hAnsi="Arial"/>
          <w:noProof/>
        </w:rPr>
        <w:t xml:space="preserve"> </w:t>
      </w:r>
      <w:r w:rsidR="005A66F0">
        <w:t xml:space="preserve"> </w:t>
      </w:r>
      <w:r>
        <w:t xml:space="preserve"> </w:t>
      </w:r>
      <w:proofErr w:type="spellStart"/>
      <w:r>
        <w:t>Axialní</w:t>
      </w:r>
      <w:proofErr w:type="spellEnd"/>
      <w:r>
        <w:t xml:space="preserve"> zajištění  řem</w:t>
      </w:r>
      <w:r w:rsidR="005A66F0">
        <w:t>e</w:t>
      </w:r>
      <w:r>
        <w:t>nic realizováno pomocí</w:t>
      </w:r>
      <w:r w:rsidR="00C0573B">
        <w:t xml:space="preserve"> šroubu,podložek a desek</w:t>
      </w:r>
      <w:r>
        <w:t>. Uložení ložisek- v dvojdílných domcích firmy SKF.</w:t>
      </w:r>
    </w:p>
    <w:p w:rsidR="00092F8A" w:rsidRDefault="00C0573B" w:rsidP="00092F8A">
      <w:pPr>
        <w:ind w:firstLine="708"/>
      </w:pPr>
      <w:r w:rsidRPr="008A7C7A">
        <w:pict>
          <v:group id="_x0000_s1026" editas="canvas" style="width:261pt;height:135pt;mso-position-horizontal-relative:char;mso-position-vertical-relative:line" coordorigin="2203,833" coordsize="4176,21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3;top:833;width:4176;height:2160" o:preferrelative="f">
              <v:fill o:detectmouseclick="t"/>
              <v:path o:extrusionok="t" o:connecttype="none"/>
              <o:lock v:ext="edit" text="t"/>
            </v:shape>
            <v:line id="_x0000_s1028" style="position:absolute" from="2635,1841" to="5659,1842" strokeweight="1pt"/>
            <v:line id="_x0000_s1029" style="position:absolute;flip:y" from="5659,1265" to="5659,1841" strokecolor="#36f">
              <v:stroke endarrow="block"/>
            </v:line>
            <v:line id="_x0000_s1030" style="position:absolute" from="2635,1841" to="2635,2417" strokecolor="#36f">
              <v:stroke endarrow="block"/>
            </v:line>
            <v:line id="_x0000_s1031" style="position:absolute;flip:y" from="3499,1265" to="3500,1841" strokecolor="#36f">
              <v:stroke endarrow="block"/>
            </v:line>
            <v:line id="_x0000_s1032" style="position:absolute" from="4795,1265" to="4796,1841" strokecolor="#36f">
              <v:stroke endarrow="block"/>
            </v:lin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3" type="#_x0000_t5" style="position:absolute;left:3355;top:1841;width:288;height:144"/>
            <v:shape id="_x0000_s1034" type="#_x0000_t5" style="position:absolute;left:4651;top:1841;width:288;height:144"/>
            <v:shape id="_x0000_s1035" style="position:absolute;left:3352;top:1988;width:62;height:70" coordsize="78,87" path="m78,l,87e" filled="f">
              <v:path arrowok="t"/>
            </v:shape>
            <v:shape id="_x0000_s1036" style="position:absolute;left:3402;top:1991;width:67;height:72" coordsize="84,89" path="m84,l,89e" filled="f">
              <v:path arrowok="t"/>
            </v:shape>
            <v:shape id="_x0000_s1037" style="position:absolute;left:3462;top:1988;width:60;height:72" coordsize="75,90" path="m75,l,90e" filled="f">
              <v:path arrowok="t"/>
            </v:shape>
            <v:shape id="_x0000_s1038" style="position:absolute;left:3517;top:1986;width:65;height:77;mso-position-horizontal:absolute;mso-position-vertical:absolute" coordsize="81,97" path="m81,l,97e" filled="f">
              <v:path arrowok="t"/>
            </v:shape>
            <v:shape id="_x0000_s1039" style="position:absolute;left:3582;top:1991;width:55;height:72;mso-position-horizontal:absolute;mso-position-vertical:absolute" coordsize="69,89" path="m69,l,89e" filled="f">
              <v:path arrowok="t"/>
            </v:shape>
            <v:shape id="_x0000_s1040" style="position:absolute;left:4655;top:2015;width:286;height:1" coordsize="357,1" path="m,1l357,e" filled="f">
              <v:path arrowok="t"/>
            </v:shape>
            <v:shape id="_x0000_s1041" style="position:absolute;left:4638;top:2017;width:65;height:77;mso-position-horizontal:absolute;mso-position-vertical:absolute" coordsize="81,96" path="m81,l,96e" filled="f">
              <v:path arrowok="t"/>
            </v:shape>
            <v:shape id="_x0000_s1042" style="position:absolute;left:4708;top:2017;width:55;height:72;mso-position-horizontal:absolute;mso-position-vertical:absolute" coordsize="69,90" path="m69,l,90e" filled="f">
              <v:path arrowok="t"/>
            </v:shape>
            <v:shape id="_x0000_s1043" style="position:absolute;left:4770;top:2015;width:55;height:72;mso-position-horizontal:absolute;mso-position-vertical:absolute" coordsize="69,89" path="m69,l,89e" filled="f">
              <v:path arrowok="t"/>
            </v:shape>
            <v:shape id="_x0000_s1044" style="position:absolute;left:4825;top:2015;width:58;height:72;mso-position-horizontal:absolute;mso-position-vertical:absolute" coordsize="72,89" path="m72,l,89e" filled="f">
              <v:path arrowok="t"/>
            </v:shape>
            <v:shape id="_x0000_s1045" style="position:absolute;left:4893;top:2022;width:48;height:62;mso-position-horizontal:absolute;mso-position-vertical:absolute" coordsize="61,78" path="m61,l,78e" filled="f">
              <v:path arrowok="t"/>
            </v:shape>
            <v:line id="_x0000_s1046" style="position:absolute" from="2635,2417" to="2635,2705" strokeweight=".5pt"/>
            <v:line id="_x0000_s1047" style="position:absolute" from="3499,1985" to="3499,2705" strokeweight=".5pt"/>
            <v:line id="_x0000_s1048" style="position:absolute" from="4795,1985" to="4795,2705" strokeweight=".5pt"/>
            <v:line id="_x0000_s1049" style="position:absolute" from="5659,1841" to="5659,2705" strokeweight=".5pt"/>
            <v:line id="_x0000_s1050" style="position:absolute" from="2635,2561" to="3499,2561" strokeweight=".5pt">
              <v:stroke startarrow="open" endarrow="open"/>
            </v:line>
            <v:line id="_x0000_s1051" style="position:absolute" from="3499,2561" to="4795,2562" strokeweight=".5pt">
              <v:stroke startarrow="open" endarrow="open"/>
            </v:line>
            <v:line id="_x0000_s1052" style="position:absolute" from="4795,2561" to="5659,2561" strokeweight=".5pt">
              <v:stroke startarrow="open" endarrow="ope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5803;top:1265;width:576;height:432" filled="f" stroked="f">
              <v:textbox>
                <w:txbxContent>
                  <w:p w:rsidR="00C0573B" w:rsidRPr="00E62304" w:rsidRDefault="00C0573B" w:rsidP="00C0573B">
                    <w:pPr>
                      <w:rPr>
                        <w:vertAlign w:val="subscript"/>
                      </w:rPr>
                    </w:pPr>
                    <w:r>
                      <w:t>F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4" type="#_x0000_t202" style="position:absolute;left:2203;top:1985;width:576;height:432" filled="f" stroked="f">
              <v:textbox>
                <w:txbxContent>
                  <w:p w:rsidR="00C0573B" w:rsidRPr="00E62304" w:rsidRDefault="00C0573B" w:rsidP="00C0573B">
                    <w:pPr>
                      <w:jc w:val="center"/>
                      <w:rPr>
                        <w:vertAlign w:val="subscript"/>
                      </w:rPr>
                    </w:pPr>
                    <w:r>
                      <w:t>F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5" type="#_x0000_t202" style="position:absolute;left:4363;top:1265;width:576;height:432" filled="f" stroked="f">
              <v:textbox>
                <w:txbxContent>
                  <w:p w:rsidR="00C0573B" w:rsidRPr="00E62304" w:rsidRDefault="00C0573B" w:rsidP="00C0573B">
                    <w:pPr>
                      <w:rPr>
                        <w:vertAlign w:val="subscript"/>
                      </w:rPr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056" type="#_x0000_t202" style="position:absolute;left:3067;top:1265;width:576;height:432" filled="f" stroked="f">
              <v:textbox>
                <w:txbxContent>
                  <w:p w:rsidR="00C0573B" w:rsidRPr="00E62304" w:rsidRDefault="00C0573B" w:rsidP="00C0573B">
                    <w:pPr>
                      <w:rPr>
                        <w:vertAlign w:val="subscript"/>
                      </w:rPr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057" type="#_x0000_t202" style="position:absolute;left:2779;top:2273;width:535;height:522;mso-wrap-style:none" filled="f" stroked="f">
              <v:textbox style="mso-fit-shape-to-text:t">
                <w:txbxContent>
                  <w:p w:rsidR="00C0573B" w:rsidRDefault="00C0573B" w:rsidP="00C0573B">
                    <w:r w:rsidRPr="00E62304">
                      <w:rPr>
                        <w:position w:val="-6"/>
                      </w:rPr>
                      <w:object w:dxaOrig="380" w:dyaOrig="220">
                        <v:shape id="_x0000_i1026" type="#_x0000_t75" style="width:18.75pt;height:11.25pt" o:ole="">
                          <v:imagedata r:id="rId5" o:title=""/>
                        </v:shape>
                        <o:OLEObject Type="Embed" ProgID="Equation.3" ShapeID="_x0000_i1026" DrawAspect="Content" ObjectID="_1334685387" r:id="rId6"/>
                      </w:object>
                    </w:r>
                  </w:p>
                </w:txbxContent>
              </v:textbox>
            </v:shape>
            <v:shape id="_x0000_s1058" type="#_x0000_t202" style="position:absolute;left:4939;top:2273;width:535;height:522;mso-wrap-style:none" filled="f" stroked="f">
              <v:textbox style="mso-fit-shape-to-text:t">
                <w:txbxContent>
                  <w:p w:rsidR="00C0573B" w:rsidRDefault="00C0573B" w:rsidP="00C0573B">
                    <w:r w:rsidRPr="00E62304">
                      <w:rPr>
                        <w:position w:val="-6"/>
                      </w:rPr>
                      <w:object w:dxaOrig="380" w:dyaOrig="220">
                        <v:shape id="_x0000_i1027" type="#_x0000_t75" style="width:18.75pt;height:11.25pt" o:ole="">
                          <v:imagedata r:id="rId7" o:title=""/>
                        </v:shape>
                        <o:OLEObject Type="Embed" ProgID="Equation.3" ShapeID="_x0000_i1027" DrawAspect="Content" ObjectID="_1334685388" r:id="rId8"/>
                      </w:object>
                    </w:r>
                  </w:p>
                </w:txbxContent>
              </v:textbox>
            </v:shape>
            <v:shape id="_x0000_s1059" type="#_x0000_t202" style="position:absolute;left:3931;top:2273;width:647;height:530;mso-wrap-style:none" filled="f" stroked="f">
              <v:textbox style="mso-fit-shape-to-text:t">
                <w:txbxContent>
                  <w:p w:rsidR="00C0573B" w:rsidRDefault="00C0573B" w:rsidP="00C0573B">
                    <w:r w:rsidRPr="00E62304">
                      <w:rPr>
                        <w:position w:val="-6"/>
                      </w:rPr>
                      <w:object w:dxaOrig="520" w:dyaOrig="279">
                        <v:shape id="_x0000_i1028" type="#_x0000_t75" style="width:26.25pt;height:14.25pt" o:ole="">
                          <v:imagedata r:id="rId9" o:title=""/>
                        </v:shape>
                        <o:OLEObject Type="Embed" ProgID="Equation.3" ShapeID="_x0000_i1028" DrawAspect="Content" ObjectID="_1334685389" r:id="rId10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092F8A" w:rsidSect="006A0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2362"/>
    <w:multiLevelType w:val="hybridMultilevel"/>
    <w:tmpl w:val="5EB0161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9A4578"/>
    <w:multiLevelType w:val="hybridMultilevel"/>
    <w:tmpl w:val="AF5613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F8A"/>
    <w:rsid w:val="00092F8A"/>
    <w:rsid w:val="0024015B"/>
    <w:rsid w:val="00535579"/>
    <w:rsid w:val="005A66F0"/>
    <w:rsid w:val="006571C1"/>
    <w:rsid w:val="006A044B"/>
    <w:rsid w:val="00741876"/>
    <w:rsid w:val="00B3424E"/>
    <w:rsid w:val="00C0573B"/>
    <w:rsid w:val="00ED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044B"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0573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1481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C0573B"/>
    <w:rPr>
      <w:rFonts w:ascii="Cambria" w:eastAsia="Times New Roman" w:hAnsi="Cambria" w:cs="Times New Roman"/>
      <w:b/>
      <w:bCs/>
      <w:sz w:val="26"/>
      <w:szCs w:val="2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</dc:creator>
  <cp:lastModifiedBy>Moula</cp:lastModifiedBy>
  <cp:revision>2</cp:revision>
  <dcterms:created xsi:type="dcterms:W3CDTF">2010-05-06T19:10:00Z</dcterms:created>
  <dcterms:modified xsi:type="dcterms:W3CDTF">2010-05-06T19:10:00Z</dcterms:modified>
</cp:coreProperties>
</file>